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6E1E" w14:textId="77777777" w:rsidR="007E3FF0" w:rsidRDefault="007E3FF0" w:rsidP="007E3FF0">
      <w:pPr>
        <w:spacing w:before="100" w:beforeAutospacing="1" w:after="100" w:afterAutospacing="1"/>
        <w:jc w:val="center"/>
        <w:outlineLvl w:val="1"/>
        <w:rPr>
          <w:b/>
          <w:bCs/>
        </w:rPr>
      </w:pPr>
      <w:r w:rsidRPr="004E0F68">
        <w:rPr>
          <w:b/>
          <w:bCs/>
        </w:rPr>
        <w:t>One Brand, Three Goals: Why GDP, FDI, and Tourism need Different Nation Branding</w:t>
      </w:r>
    </w:p>
    <w:p w14:paraId="5DA8E6A5" w14:textId="77777777" w:rsidR="007E3FF0" w:rsidRPr="004E0F68" w:rsidRDefault="007E3FF0" w:rsidP="007E3FF0">
      <w:pPr>
        <w:spacing w:before="100" w:beforeAutospacing="1" w:after="100" w:afterAutospacing="1"/>
        <w:jc w:val="center"/>
        <w:outlineLvl w:val="1"/>
        <w:rPr>
          <w:i/>
          <w:iCs/>
        </w:rPr>
      </w:pPr>
      <w:r w:rsidRPr="004E0F68">
        <w:rPr>
          <w:i/>
          <w:iCs/>
        </w:rPr>
        <w:t>What Does It Take to Make a Country Great? Twelve Years of Global Perception Data Reveal Different Drivers for GDP, FDI, and Touris</w:t>
      </w:r>
      <w:r>
        <w:rPr>
          <w:i/>
          <w:iCs/>
        </w:rPr>
        <w:t>m</w:t>
      </w:r>
    </w:p>
    <w:p w14:paraId="029E5E89" w14:textId="77777777" w:rsidR="007E3FF0" w:rsidRPr="00150B61" w:rsidRDefault="007E3FF0" w:rsidP="007E3FF0">
      <w:pPr>
        <w:spacing w:line="480" w:lineRule="auto"/>
        <w:jc w:val="center"/>
        <w:rPr>
          <w:b/>
          <w:bCs/>
          <w:i/>
          <w:iCs/>
        </w:rPr>
      </w:pPr>
      <w:r w:rsidRPr="00150B61">
        <w:rPr>
          <w:b/>
          <w:bCs/>
          <w:i/>
          <w:iCs/>
        </w:rPr>
        <w:t>Koen Pauwels and David Reibstein</w:t>
      </w:r>
    </w:p>
    <w:p w14:paraId="1F5240EC" w14:textId="77777777" w:rsidR="007E3FF0" w:rsidRDefault="007E3FF0" w:rsidP="007E3FF0">
      <w:pPr>
        <w:spacing w:before="100" w:beforeAutospacing="1" w:after="100" w:afterAutospacing="1"/>
        <w:jc w:val="center"/>
        <w:outlineLvl w:val="1"/>
        <w:rPr>
          <w:b/>
          <w:bCs/>
        </w:rPr>
      </w:pPr>
    </w:p>
    <w:p w14:paraId="25530412" w14:textId="7CF94173" w:rsidR="00B0667A" w:rsidRDefault="007E3FF0" w:rsidP="007E3FF0">
      <w:pPr>
        <w:spacing w:after="240" w:line="480" w:lineRule="auto"/>
        <w:jc w:val="center"/>
      </w:pPr>
      <w:r>
        <w:rPr>
          <w:b/>
          <w:bCs/>
        </w:rPr>
        <w:t>Extended Abstract</w:t>
      </w:r>
    </w:p>
    <w:p w14:paraId="7CCFE148" w14:textId="5D38B1D5" w:rsidR="00B0667A" w:rsidRDefault="00000000">
      <w:pPr>
        <w:spacing w:line="480" w:lineRule="auto"/>
        <w:jc w:val="both"/>
      </w:pPr>
      <w:r>
        <w:t xml:space="preserve">A country’s leader, minister of tourism or trade faces a tough challenge: which aspects of national image </w:t>
      </w:r>
      <w:proofErr w:type="gramStart"/>
      <w:r>
        <w:t>actually drive</w:t>
      </w:r>
      <w:proofErr w:type="gramEnd"/>
      <w:r>
        <w:t xml:space="preserve"> the outcomes that matter, such as GDP, foreign investment, or touris</w:t>
      </w:r>
      <w:r w:rsidR="003C02CD">
        <w:t>m</w:t>
      </w:r>
      <w:r>
        <w:t xml:space="preserve"> arrivals? Rankings abound. The Soft Power 30, the Nation Brands Index, and similar indices tell governments where they stand. What they rarely provide is actionable guidance: which perceptual dimensions to prioritize, and with what expected return. Countries collectively spend billions on branding initiatives, but often without evidence that the specific attributes being promoted are the ones connected to economic outcomes. A country ranked 22nd on “cultural heritage” may be wondering whether climbing to 15th on that dimension is worth the</w:t>
      </w:r>
      <w:r w:rsidR="003C02CD">
        <w:t xml:space="preserve"> effort</w:t>
      </w:r>
      <w:r>
        <w:t>, or whether improving perceptions of “business environment” would yield larger dividends in foreign investment. Without systematic empirical evidence linking specific brand attributes to specific economic outcomes, these decisions default to intuition.</w:t>
      </w:r>
    </w:p>
    <w:p w14:paraId="4E027094" w14:textId="77777777" w:rsidR="00B0667A" w:rsidRDefault="00000000" w:rsidP="007E3FF0">
      <w:pPr>
        <w:spacing w:line="480" w:lineRule="auto"/>
        <w:ind w:firstLine="720"/>
        <w:jc w:val="both"/>
      </w:pPr>
      <w:r>
        <w:t xml:space="preserve">The branding literature offers a useful starting point, as we are all familiar with brands as they apply to products or companies. Decades of research establish that brands shift demand curves outward: stronger brand equity allows firms to charge higher prices, attract greater volume, or both (Keller, 1993; Aaker, 1996). The logic extends naturally to countries. A country whose image is stronger, more coherent, and more favorably perceived should attract more tourists, more trade partners, and more foreign investors than a less-regarded competitor offering objectively similar </w:t>
      </w:r>
      <w:r>
        <w:lastRenderedPageBreak/>
        <w:t xml:space="preserve">conditions. Country-of-origin research confirms the mechanism at the product level, e.g. French wine, Italian shoes, and German engineering all carry image premia that influence purchase behavior (Bilkey &amp; Nes, 1982; Johansson, Douglas &amp; Nonaka, 1985; </w:t>
      </w:r>
      <w:proofErr w:type="spellStart"/>
      <w:r>
        <w:t>Verlegh</w:t>
      </w:r>
      <w:proofErr w:type="spellEnd"/>
      <w:r>
        <w:t xml:space="preserve"> &amp; Steenkamp, 1999).</w:t>
      </w:r>
    </w:p>
    <w:p w14:paraId="4EA5CD7C" w14:textId="77777777" w:rsidR="00B0667A" w:rsidRDefault="00000000" w:rsidP="007E3FF0">
      <w:pPr>
        <w:spacing w:line="480" w:lineRule="auto"/>
        <w:ind w:firstLine="720"/>
        <w:jc w:val="both"/>
      </w:pPr>
      <w:r>
        <w:t xml:space="preserve">Building on this foundation, some scholars have argued that countries function as </w:t>
      </w:r>
      <w:proofErr w:type="gramStart"/>
      <w:r>
        <w:t>brands in their own right</w:t>
      </w:r>
      <w:proofErr w:type="gramEnd"/>
      <w:r>
        <w:t xml:space="preserve"> (Anholt, 2005, 2007; Dinnie, 2008). Anholt’s competitive identity framework emphasizes that national reputation is shaped by governance, exports, culture, investment climate, tourism appeal, and the behavior of citizens. This multidimensional view aligns with branding theory: brand equity is built across touchpoints, not through advertising alone. Similarly, Dinnie (2008, 2015) conceptualizes nation branding as a multidimensional process involving the coordination of national stakeholders to communicate a coherent and attractive identity to international audiences. These perspectives have encouraged governments around the world to invest in branding initiatives designed to strengthen their global standing and differentiate themselves from competing nations.</w:t>
      </w:r>
    </w:p>
    <w:p w14:paraId="49C8E138" w14:textId="77777777" w:rsidR="00B0667A" w:rsidRDefault="00000000" w:rsidP="007E3FF0">
      <w:pPr>
        <w:spacing w:line="480" w:lineRule="auto"/>
        <w:ind w:firstLine="720"/>
        <w:jc w:val="both"/>
      </w:pPr>
      <w:r>
        <w:t>At the same time, the nation-branding literature has generated substantial debate. While proponents argue that strategic reputation management can enhance a country’s economic and political prospects, critics question whether nations can be meaningfully treated as brands in the same way as commercial products (</w:t>
      </w:r>
      <w:proofErr w:type="spellStart"/>
      <w:r>
        <w:t>Kaneva</w:t>
      </w:r>
      <w:proofErr w:type="spellEnd"/>
      <w:r>
        <w:t>, 2011). Critical scholars contend that nation branding often simplifies complex national identities, privileges market-oriented values, and risks transforming citizenship and culture into promotional assets (Jansen, 2008; Aronczyk, 2013). These critiques have broadened the field beyond marketing and management to include perspectives from political science, international relations, cultural studies, and public diplomacy.</w:t>
      </w:r>
    </w:p>
    <w:p w14:paraId="3A74ECA6" w14:textId="77777777" w:rsidR="00B0667A" w:rsidRDefault="00000000" w:rsidP="007E3FF0">
      <w:pPr>
        <w:spacing w:line="480" w:lineRule="auto"/>
        <w:ind w:firstLine="720"/>
        <w:jc w:val="both"/>
      </w:pPr>
      <w:r>
        <w:lastRenderedPageBreak/>
        <w:t>The growing significance of soft power has further expanded interest in nation branding. Nye (2004) argues that countries increasingly achieve influence through attraction and persuasion rather than coercion alone. In this context, national reputation becomes a strategic resource capable of shaping international relationships and policy outcomes. Consequently, nation branding is now frequently examined alongside concepts such as public diplomacy, national identity, and soft power, highlighting its relevance to both domestic governance and international affairs.</w:t>
      </w:r>
    </w:p>
    <w:p w14:paraId="32A764D6" w14:textId="77777777" w:rsidR="00B0667A" w:rsidRDefault="00000000">
      <w:pPr>
        <w:spacing w:line="480" w:lineRule="auto"/>
        <w:jc w:val="both"/>
      </w:pPr>
      <w:r>
        <w:t xml:space="preserve">So far for arguments, what does the empirical evidence say? Most nation branding studies measure perceptions of countries; few tie those perceptions to hard economic outcomes with appropriate controls. </w:t>
      </w:r>
      <w:proofErr w:type="spellStart"/>
      <w:r>
        <w:t>Fetscherin</w:t>
      </w:r>
      <w:proofErr w:type="spellEnd"/>
      <w:r>
        <w:t xml:space="preserve"> (2010) is a notable exception, linking objective country characteristics to economic variables. But no study we are aware of uses a large-scale, annually fielded perception survey to estimate which specific dimensions predict tourism, trade, and FDI in a longitudinal cross-national design.</w:t>
      </w:r>
    </w:p>
    <w:p w14:paraId="1A9B142F" w14:textId="7068701C" w:rsidR="00B0667A" w:rsidRDefault="00000000" w:rsidP="00305AA0">
      <w:pPr>
        <w:spacing w:line="480" w:lineRule="auto"/>
        <w:ind w:firstLine="720"/>
        <w:jc w:val="both"/>
      </w:pPr>
      <w:r>
        <w:t>This paper does exactly that. Working with the Brand Asset Valuator (BAV) division of WPP, we fielded annual surveys from 2016 to 2026 (excluding 2025), rating 80+ countries on 70+ attributes. Respondents were business decision-makers and nationally representative adults, drawn from 33-36 countries across six world regions, yielding 15,000-22,000+ observations per wave. The countries covered represent over 90% of world GDP and 70% of the world’s population. We next empirically assess how country perceptions relate to the economic outcome variables—tourism, foreign trade, and foreign direct investment. To do so, we group the perception attributes into seven interpretable clusters and estimate each cluster’s contribution to each outcome with a stacked ensemble and Shapley-value attribution. Based on this analysis, we then suggest what specific countries can do to better to “manage their brand.”</w:t>
      </w:r>
    </w:p>
    <w:p w14:paraId="57C05443" w14:textId="165C5CFF" w:rsidR="00305AA0" w:rsidRDefault="00305AA0" w:rsidP="007E3FF0">
      <w:pPr>
        <w:spacing w:line="480" w:lineRule="auto"/>
        <w:ind w:firstLine="720"/>
        <w:jc w:val="both"/>
      </w:pPr>
    </w:p>
    <w:sectPr w:rsidR="00305AA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8FFC" w14:textId="77777777" w:rsidR="003E2B12" w:rsidRDefault="003E2B12" w:rsidP="00BB2C5C">
      <w:r>
        <w:separator/>
      </w:r>
    </w:p>
  </w:endnote>
  <w:endnote w:type="continuationSeparator" w:id="0">
    <w:p w14:paraId="211D0F7E" w14:textId="77777777" w:rsidR="003E2B12" w:rsidRDefault="003E2B12" w:rsidP="00BB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1334C" w14:textId="77777777" w:rsidR="003E2B12" w:rsidRDefault="003E2B12" w:rsidP="00BB2C5C">
      <w:r>
        <w:separator/>
      </w:r>
    </w:p>
  </w:footnote>
  <w:footnote w:type="continuationSeparator" w:id="0">
    <w:p w14:paraId="0561BEEC" w14:textId="77777777" w:rsidR="003E2B12" w:rsidRDefault="003E2B12" w:rsidP="00BB2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B5BD3"/>
    <w:multiLevelType w:val="hybridMultilevel"/>
    <w:tmpl w:val="105AD046"/>
    <w:lvl w:ilvl="0" w:tplc="CD62D6DA">
      <w:start w:val="1"/>
      <w:numFmt w:val="bullet"/>
      <w:lvlText w:val="●"/>
      <w:lvlJc w:val="left"/>
      <w:pPr>
        <w:ind w:left="720" w:hanging="360"/>
      </w:pPr>
    </w:lvl>
    <w:lvl w:ilvl="1" w:tplc="F38002CC">
      <w:start w:val="1"/>
      <w:numFmt w:val="bullet"/>
      <w:lvlText w:val="○"/>
      <w:lvlJc w:val="left"/>
      <w:pPr>
        <w:ind w:left="1440" w:hanging="360"/>
      </w:pPr>
    </w:lvl>
    <w:lvl w:ilvl="2" w:tplc="CED4354C">
      <w:start w:val="1"/>
      <w:numFmt w:val="bullet"/>
      <w:lvlText w:val="■"/>
      <w:lvlJc w:val="left"/>
      <w:pPr>
        <w:ind w:left="2160" w:hanging="360"/>
      </w:pPr>
    </w:lvl>
    <w:lvl w:ilvl="3" w:tplc="EFAAD908">
      <w:start w:val="1"/>
      <w:numFmt w:val="bullet"/>
      <w:lvlText w:val="●"/>
      <w:lvlJc w:val="left"/>
      <w:pPr>
        <w:ind w:left="2880" w:hanging="360"/>
      </w:pPr>
    </w:lvl>
    <w:lvl w:ilvl="4" w:tplc="8558F2E8">
      <w:start w:val="1"/>
      <w:numFmt w:val="bullet"/>
      <w:lvlText w:val="○"/>
      <w:lvlJc w:val="left"/>
      <w:pPr>
        <w:ind w:left="3600" w:hanging="360"/>
      </w:pPr>
    </w:lvl>
    <w:lvl w:ilvl="5" w:tplc="40BCD346">
      <w:start w:val="1"/>
      <w:numFmt w:val="bullet"/>
      <w:lvlText w:val="■"/>
      <w:lvlJc w:val="left"/>
      <w:pPr>
        <w:ind w:left="4320" w:hanging="360"/>
      </w:pPr>
    </w:lvl>
    <w:lvl w:ilvl="6" w:tplc="D8EEB40E">
      <w:start w:val="1"/>
      <w:numFmt w:val="bullet"/>
      <w:lvlText w:val="●"/>
      <w:lvlJc w:val="left"/>
      <w:pPr>
        <w:ind w:left="5040" w:hanging="360"/>
      </w:pPr>
    </w:lvl>
    <w:lvl w:ilvl="7" w:tplc="2A3480B8">
      <w:start w:val="1"/>
      <w:numFmt w:val="bullet"/>
      <w:lvlText w:val="●"/>
      <w:lvlJc w:val="left"/>
      <w:pPr>
        <w:ind w:left="5760" w:hanging="360"/>
      </w:pPr>
    </w:lvl>
    <w:lvl w:ilvl="8" w:tplc="8EE0AFFE">
      <w:start w:val="1"/>
      <w:numFmt w:val="bullet"/>
      <w:lvlText w:val="●"/>
      <w:lvlJc w:val="left"/>
      <w:pPr>
        <w:ind w:left="6480" w:hanging="360"/>
      </w:pPr>
    </w:lvl>
  </w:abstractNum>
  <w:num w:numId="1" w16cid:durableId="842016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7A"/>
    <w:rsid w:val="001A003F"/>
    <w:rsid w:val="00305AA0"/>
    <w:rsid w:val="003C02CD"/>
    <w:rsid w:val="003E2B12"/>
    <w:rsid w:val="0056273F"/>
    <w:rsid w:val="007E3FF0"/>
    <w:rsid w:val="00B0667A"/>
    <w:rsid w:val="00BB2C5C"/>
    <w:rsid w:val="00D81449"/>
    <w:rsid w:val="00EE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AB3E2D"/>
  <w15:docId w15:val="{17E40C13-9184-1448-B2D6-9320F170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3C02CD"/>
  </w:style>
  <w:style w:type="character" w:styleId="CommentReference">
    <w:name w:val="annotation reference"/>
    <w:basedOn w:val="DefaultParagraphFont"/>
    <w:uiPriority w:val="99"/>
    <w:semiHidden/>
    <w:unhideWhenUsed/>
    <w:rsid w:val="00EE3111"/>
    <w:rPr>
      <w:sz w:val="16"/>
      <w:szCs w:val="16"/>
    </w:rPr>
  </w:style>
  <w:style w:type="paragraph" w:styleId="CommentText">
    <w:name w:val="annotation text"/>
    <w:basedOn w:val="Normal"/>
    <w:link w:val="CommentTextChar"/>
    <w:uiPriority w:val="99"/>
    <w:semiHidden/>
    <w:unhideWhenUsed/>
    <w:rsid w:val="00EE3111"/>
    <w:rPr>
      <w:sz w:val="20"/>
      <w:szCs w:val="20"/>
    </w:rPr>
  </w:style>
  <w:style w:type="character" w:customStyle="1" w:styleId="CommentTextChar">
    <w:name w:val="Comment Text Char"/>
    <w:basedOn w:val="DefaultParagraphFont"/>
    <w:link w:val="CommentText"/>
    <w:uiPriority w:val="99"/>
    <w:semiHidden/>
    <w:rsid w:val="00EE3111"/>
    <w:rPr>
      <w:sz w:val="20"/>
      <w:szCs w:val="20"/>
    </w:rPr>
  </w:style>
  <w:style w:type="paragraph" w:styleId="CommentSubject">
    <w:name w:val="annotation subject"/>
    <w:basedOn w:val="CommentText"/>
    <w:next w:val="CommentText"/>
    <w:link w:val="CommentSubjectChar"/>
    <w:uiPriority w:val="99"/>
    <w:semiHidden/>
    <w:unhideWhenUsed/>
    <w:rsid w:val="00EE3111"/>
    <w:rPr>
      <w:b/>
      <w:bCs/>
    </w:rPr>
  </w:style>
  <w:style w:type="character" w:customStyle="1" w:styleId="CommentSubjectChar">
    <w:name w:val="Comment Subject Char"/>
    <w:basedOn w:val="CommentTextChar"/>
    <w:link w:val="CommentSubject"/>
    <w:uiPriority w:val="99"/>
    <w:semiHidden/>
    <w:rsid w:val="00EE31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Pauwels, Koen</cp:lastModifiedBy>
  <cp:revision>2</cp:revision>
  <dcterms:created xsi:type="dcterms:W3CDTF">2026-06-29T20:29:00Z</dcterms:created>
  <dcterms:modified xsi:type="dcterms:W3CDTF">2026-06-29T20:29:00Z</dcterms:modified>
</cp:coreProperties>
</file>